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EB26F">
      <w:pPr>
        <w:jc w:val="center"/>
        <w:rPr>
          <w:rFonts w:hint="eastAsia" w:eastAsiaTheme="minorEastAsia"/>
          <w:b/>
          <w:bCs/>
          <w:sz w:val="36"/>
          <w:szCs w:val="36"/>
          <w:lang w:eastAsia="zh-CN"/>
        </w:rPr>
      </w:pPr>
      <w:r>
        <w:rPr>
          <w:rFonts w:hint="eastAsia"/>
          <w:b/>
          <w:bCs/>
          <w:sz w:val="36"/>
          <w:szCs w:val="36"/>
          <w:lang w:eastAsia="zh-CN"/>
        </w:rPr>
        <w:t>射阳县中医院共享智慧中药房需求清单</w:t>
      </w:r>
    </w:p>
    <w:tbl>
      <w:tblPr>
        <w:tblStyle w:val="2"/>
        <w:tblW w:w="14460" w:type="dxa"/>
        <w:tblInd w:w="0" w:type="dxa"/>
        <w:shd w:val="clear" w:color="auto" w:fill="auto"/>
        <w:tblLayout w:type="fixed"/>
        <w:tblCellMar>
          <w:top w:w="0" w:type="dxa"/>
          <w:left w:w="0" w:type="dxa"/>
          <w:bottom w:w="0" w:type="dxa"/>
          <w:right w:w="0" w:type="dxa"/>
        </w:tblCellMar>
      </w:tblPr>
      <w:tblGrid>
        <w:gridCol w:w="997"/>
        <w:gridCol w:w="2291"/>
        <w:gridCol w:w="5894"/>
        <w:gridCol w:w="685"/>
        <w:gridCol w:w="685"/>
        <w:gridCol w:w="685"/>
        <w:gridCol w:w="956"/>
        <w:gridCol w:w="2267"/>
      </w:tblGrid>
      <w:tr w14:paraId="67F79604">
        <w:tblPrEx>
          <w:shd w:val="clear" w:color="auto" w:fill="auto"/>
          <w:tblCellMar>
            <w:top w:w="0" w:type="dxa"/>
            <w:left w:w="0" w:type="dxa"/>
            <w:bottom w:w="0" w:type="dxa"/>
            <w:right w:w="0" w:type="dxa"/>
          </w:tblCellMar>
        </w:tblPrEx>
        <w:trPr>
          <w:trHeight w:val="270" w:hRule="atLeast"/>
        </w:trPr>
        <w:tc>
          <w:tcPr>
            <w:tcW w:w="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0ED1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22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8936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建设内容</w:t>
            </w:r>
          </w:p>
        </w:tc>
        <w:tc>
          <w:tcPr>
            <w:tcW w:w="58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D00C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功能描述</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74F4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2BD07">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F69A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单价</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1749A">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总价</w:t>
            </w:r>
          </w:p>
          <w:p w14:paraId="1CBFBA07">
            <w:pPr>
              <w:keepNext w:val="0"/>
              <w:keepLines w:val="0"/>
              <w:widowControl/>
              <w:suppressLineNumbers w:val="0"/>
              <w:jc w:val="center"/>
              <w:textAlignment w:val="center"/>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（万元）</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BCC4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备注</w:t>
            </w:r>
          </w:p>
        </w:tc>
      </w:tr>
      <w:tr w14:paraId="41EF38F1">
        <w:tblPrEx>
          <w:shd w:val="clear" w:color="auto" w:fill="auto"/>
          <w:tblCellMar>
            <w:top w:w="0" w:type="dxa"/>
            <w:left w:w="0" w:type="dxa"/>
            <w:bottom w:w="0" w:type="dxa"/>
            <w:right w:w="0" w:type="dxa"/>
          </w:tblCellMar>
        </w:tblPrEx>
        <w:trPr>
          <w:trHeight w:val="1093" w:hRule="atLeast"/>
        </w:trPr>
        <w:tc>
          <w:tcPr>
            <w:tcW w:w="99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7E1C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A4D77D">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全自动散装中药饮片自动调剂设备</w:t>
            </w:r>
          </w:p>
        </w:tc>
        <w:tc>
          <w:tcPr>
            <w:tcW w:w="58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04FD2">
            <w:pPr>
              <w:keepNext w:val="0"/>
              <w:keepLines w:val="0"/>
              <w:widowControl/>
              <w:suppressLineNumbers w:val="0"/>
              <w:jc w:val="left"/>
              <w:textAlignment w:val="center"/>
              <w:rPr>
                <w:rFonts w:hint="eastAsia" w:ascii="宋体" w:hAnsi="宋体" w:cs="宋体" w:eastAsiaTheme="minorEastAsia"/>
                <w:i w:val="0"/>
                <w:color w:val="000000"/>
                <w:sz w:val="20"/>
                <w:szCs w:val="20"/>
                <w:u w:val="none"/>
                <w:lang w:val="en-US" w:eastAsia="zh-CN"/>
              </w:rPr>
            </w:pPr>
            <w:r>
              <w:rPr>
                <w:rFonts w:hint="eastAsia" w:ascii="宋体" w:hAnsi="宋体" w:eastAsia="宋体" w:cs="宋体"/>
                <w:i w:val="0"/>
                <w:color w:val="000000"/>
                <w:kern w:val="0"/>
                <w:sz w:val="20"/>
                <w:szCs w:val="20"/>
                <w:u w:val="none"/>
                <w:lang w:val="en-US" w:eastAsia="zh-CN" w:bidi="ar"/>
              </w:rPr>
              <w:t>以现场勘探为准</w:t>
            </w:r>
            <w:r>
              <w:rPr>
                <w:rFonts w:hint="eastAsia" w:ascii="宋体" w:hAnsi="宋体" w:eastAsia="宋体" w:cs="宋体"/>
                <w:i w:val="0"/>
                <w:color w:val="000000"/>
                <w:kern w:val="0"/>
                <w:sz w:val="20"/>
                <w:szCs w:val="20"/>
                <w:highlight w:val="none"/>
                <w:u w:val="none"/>
                <w:lang w:val="en-US" w:eastAsia="zh-CN" w:bidi="ar"/>
              </w:rPr>
              <w:t>，需包含：1、</w:t>
            </w:r>
            <w:r>
              <w:rPr>
                <w:rFonts w:hint="eastAsia" w:hAnsi="宋体" w:cs="宋体"/>
                <w:b w:val="0"/>
                <w:kern w:val="2"/>
                <w:position w:val="0"/>
                <w:szCs w:val="24"/>
                <w:highlight w:val="none"/>
              </w:rPr>
              <w:t>中药饮片智能调剂设备及系统、药筐传输设备及系统、人工补药台、自动复核台、药斗≥</w:t>
            </w:r>
            <w:r>
              <w:rPr>
                <w:rFonts w:hint="eastAsia" w:hAnsi="宋体" w:cs="宋体"/>
                <w:b w:val="0"/>
                <w:kern w:val="2"/>
                <w:position w:val="0"/>
                <w:szCs w:val="24"/>
                <w:highlight w:val="none"/>
                <w:lang w:val="en-US" w:eastAsia="zh-CN"/>
              </w:rPr>
              <w:t>200</w:t>
            </w:r>
            <w:r>
              <w:rPr>
                <w:rFonts w:hint="eastAsia" w:hAnsi="宋体" w:cs="宋体"/>
                <w:b w:val="0"/>
                <w:kern w:val="2"/>
                <w:position w:val="0"/>
                <w:szCs w:val="24"/>
                <w:highlight w:val="none"/>
              </w:rPr>
              <w:t>个、药筐≥</w:t>
            </w:r>
            <w:r>
              <w:rPr>
                <w:rFonts w:hint="eastAsia" w:hAnsi="宋体" w:cs="宋体"/>
                <w:b w:val="0"/>
                <w:kern w:val="2"/>
                <w:position w:val="0"/>
                <w:szCs w:val="24"/>
                <w:highlight w:val="none"/>
                <w:lang w:val="en-US" w:eastAsia="zh-CN"/>
              </w:rPr>
              <w:t>200</w:t>
            </w:r>
            <w:r>
              <w:rPr>
                <w:rFonts w:hint="eastAsia" w:hAnsi="宋体" w:cs="宋体"/>
                <w:b w:val="0"/>
                <w:kern w:val="2"/>
                <w:position w:val="0"/>
                <w:szCs w:val="24"/>
                <w:highlight w:val="none"/>
              </w:rPr>
              <w:t>个等</w:t>
            </w:r>
            <w:r>
              <w:rPr>
                <w:rFonts w:hint="eastAsia" w:hAnsi="宋体" w:cs="宋体"/>
                <w:b w:val="0"/>
                <w:kern w:val="2"/>
                <w:position w:val="0"/>
                <w:szCs w:val="24"/>
                <w:highlight w:val="none"/>
                <w:lang w:eastAsia="zh-CN"/>
              </w:rPr>
              <w:t>；</w:t>
            </w:r>
            <w:r>
              <w:rPr>
                <w:rFonts w:hint="eastAsia" w:hAnsi="宋体" w:cs="宋体"/>
                <w:b w:val="0"/>
                <w:kern w:val="2"/>
                <w:position w:val="0"/>
                <w:szCs w:val="24"/>
                <w:highlight w:val="none"/>
                <w:lang w:val="en-US" w:eastAsia="zh-CN"/>
              </w:rPr>
              <w:t>2、</w:t>
            </w:r>
            <w:r>
              <w:rPr>
                <w:rFonts w:hint="eastAsia" w:hAnsi="宋体" w:cs="宋体"/>
                <w:b w:val="0"/>
                <w:kern w:val="2"/>
                <w:position w:val="0"/>
                <w:szCs w:val="24"/>
                <w:highlight w:val="none"/>
              </w:rPr>
              <w:t>调剂系统</w:t>
            </w:r>
            <w:bookmarkStart w:id="0" w:name="_GoBack"/>
            <w:bookmarkEnd w:id="0"/>
            <w:r>
              <w:rPr>
                <w:rFonts w:hint="eastAsia" w:hAnsi="宋体" w:cs="宋体"/>
                <w:b w:val="0"/>
                <w:kern w:val="2"/>
                <w:position w:val="0"/>
                <w:szCs w:val="24"/>
                <w:highlight w:val="none"/>
              </w:rPr>
              <w:t>与院内his系统对接，自动获取处方信息</w:t>
            </w:r>
            <w:r>
              <w:rPr>
                <w:rFonts w:hint="eastAsia" w:hAnsi="宋体" w:cs="宋体"/>
                <w:b w:val="0"/>
                <w:kern w:val="2"/>
                <w:position w:val="0"/>
                <w:szCs w:val="24"/>
                <w:highlight w:val="none"/>
                <w:lang w:eastAsia="zh-CN"/>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858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F81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E5CF0">
            <w:pPr>
              <w:jc w:val="center"/>
              <w:rPr>
                <w:rFonts w:hint="eastAsia" w:ascii="宋体" w:hAnsi="宋体" w:eastAsia="宋体" w:cs="宋体"/>
                <w:i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6762C">
            <w:pPr>
              <w:jc w:val="center"/>
              <w:rPr>
                <w:rFonts w:hint="default" w:ascii="宋体" w:hAnsi="宋体" w:eastAsia="宋体" w:cs="宋体"/>
                <w:i w:val="0"/>
                <w:color w:val="000000"/>
                <w:sz w:val="20"/>
                <w:szCs w:val="20"/>
                <w:u w:val="none"/>
                <w:lang w:val="en-US" w:eastAsia="zh-CN"/>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8BBBB">
            <w:pPr>
              <w:jc w:val="center"/>
              <w:rPr>
                <w:rFonts w:hint="default" w:ascii="宋体" w:hAnsi="宋体" w:eastAsia="宋体" w:cs="宋体"/>
                <w:i w:val="0"/>
                <w:color w:val="000000"/>
                <w:sz w:val="20"/>
                <w:szCs w:val="20"/>
                <w:u w:val="none"/>
                <w:lang w:val="en-US" w:eastAsia="zh-CN"/>
              </w:rPr>
            </w:pPr>
          </w:p>
        </w:tc>
      </w:tr>
      <w:tr w14:paraId="581CC72A">
        <w:tblPrEx>
          <w:shd w:val="clear" w:color="auto" w:fill="auto"/>
          <w:tblCellMar>
            <w:top w:w="0" w:type="dxa"/>
            <w:left w:w="0" w:type="dxa"/>
            <w:bottom w:w="0" w:type="dxa"/>
            <w:right w:w="0" w:type="dxa"/>
          </w:tblCellMar>
        </w:tblPrEx>
        <w:trPr>
          <w:trHeight w:val="220" w:hRule="atLeast"/>
        </w:trPr>
        <w:tc>
          <w:tcPr>
            <w:tcW w:w="99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F411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2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960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共享中药房系统</w:t>
            </w:r>
          </w:p>
        </w:tc>
        <w:tc>
          <w:tcPr>
            <w:tcW w:w="5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F78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1、系统支持统一集中部署，通过卫生专网方式实现射阳县中医院共享中药房与全县卫生医疗机构信息互通与数据共享。</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2、系统具备中医药知识库、基层中药饮片处方流转、共享中药房管理、中医药服务监测统计等功能。全县医疗机构中药饮片业务规范接入共享中药房。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3、射阳县中医院共享中药房接收来自各医疗机构开具的中药处方，通过处方流转，为医共体共享中药房牵头医院射阳县中医院实现统一收方、集中审方、代配代煎、即时配送服务提供信息化平台支撑。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4、对接共享中药房快递数据接口，提供智慧共享中药房全流程包括接方审核、配方煎药、物流配送等状态查询接口，并提供相关信息展现页面。</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69A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8E5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482C2">
            <w:pPr>
              <w:jc w:val="center"/>
              <w:rPr>
                <w:rFonts w:hint="eastAsia" w:ascii="宋体" w:hAnsi="宋体" w:eastAsia="宋体" w:cs="宋体"/>
                <w:i w:val="0"/>
                <w:color w:val="000000"/>
                <w:sz w:val="20"/>
                <w:szCs w:val="20"/>
                <w:u w:val="none"/>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8472F">
            <w:pPr>
              <w:jc w:val="center"/>
              <w:rPr>
                <w:rFonts w:hint="eastAsia" w:ascii="宋体" w:hAnsi="宋体" w:eastAsia="宋体" w:cs="宋体"/>
                <w:i w:val="0"/>
                <w:color w:val="000000"/>
                <w:sz w:val="20"/>
                <w:szCs w:val="20"/>
                <w:u w:val="none"/>
              </w:rPr>
            </w:pPr>
          </w:p>
        </w:tc>
        <w:tc>
          <w:tcPr>
            <w:tcW w:w="22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FBA16">
            <w:pPr>
              <w:jc w:val="center"/>
              <w:rPr>
                <w:rFonts w:hint="eastAsia" w:ascii="宋体" w:hAnsi="宋体" w:eastAsia="宋体" w:cs="宋体"/>
                <w:i w:val="0"/>
                <w:color w:val="000000"/>
                <w:sz w:val="20"/>
                <w:szCs w:val="20"/>
                <w:u w:val="none"/>
              </w:rPr>
            </w:pPr>
          </w:p>
        </w:tc>
      </w:tr>
      <w:tr w14:paraId="539D9E91">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F1284F">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B9EEB">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DCDF0">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5DC3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FFE6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03875">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10C3D">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D1676">
            <w:pPr>
              <w:jc w:val="center"/>
              <w:rPr>
                <w:rFonts w:hint="eastAsia" w:ascii="宋体" w:hAnsi="宋体" w:eastAsia="宋体" w:cs="宋体"/>
                <w:i w:val="0"/>
                <w:color w:val="000000"/>
                <w:sz w:val="20"/>
                <w:szCs w:val="20"/>
                <w:u w:val="none"/>
              </w:rPr>
            </w:pPr>
          </w:p>
        </w:tc>
      </w:tr>
      <w:tr w14:paraId="3EBE0008">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4A7EA6">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D3BDC">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6BB4C">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26780">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34EF0">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4C18C">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6E6AD">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3AF63">
            <w:pPr>
              <w:jc w:val="center"/>
              <w:rPr>
                <w:rFonts w:hint="eastAsia" w:ascii="宋体" w:hAnsi="宋体" w:eastAsia="宋体" w:cs="宋体"/>
                <w:i w:val="0"/>
                <w:color w:val="000000"/>
                <w:sz w:val="20"/>
                <w:szCs w:val="20"/>
                <w:u w:val="none"/>
              </w:rPr>
            </w:pPr>
          </w:p>
        </w:tc>
      </w:tr>
      <w:tr w14:paraId="334AF6B3">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183586">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3B49E">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4C5AD">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500D8">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2569E">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7A69">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481F8">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3F27C">
            <w:pPr>
              <w:jc w:val="center"/>
              <w:rPr>
                <w:rFonts w:hint="eastAsia" w:ascii="宋体" w:hAnsi="宋体" w:eastAsia="宋体" w:cs="宋体"/>
                <w:i w:val="0"/>
                <w:color w:val="000000"/>
                <w:sz w:val="20"/>
                <w:szCs w:val="20"/>
                <w:u w:val="none"/>
              </w:rPr>
            </w:pPr>
          </w:p>
        </w:tc>
      </w:tr>
      <w:tr w14:paraId="6575C380">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A47E06">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DB2E2">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FE348">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9865B">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8A921">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59AE4">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1F3FE">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58CA1">
            <w:pPr>
              <w:jc w:val="center"/>
              <w:rPr>
                <w:rFonts w:hint="eastAsia" w:ascii="宋体" w:hAnsi="宋体" w:eastAsia="宋体" w:cs="宋体"/>
                <w:i w:val="0"/>
                <w:color w:val="000000"/>
                <w:sz w:val="20"/>
                <w:szCs w:val="20"/>
                <w:u w:val="none"/>
              </w:rPr>
            </w:pPr>
          </w:p>
        </w:tc>
      </w:tr>
      <w:tr w14:paraId="6A82DC2E">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CBAB4D">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8E0F8">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381BE">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FC9C9">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6CBF8">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59F25">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A4984">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6CA12">
            <w:pPr>
              <w:jc w:val="center"/>
              <w:rPr>
                <w:rFonts w:hint="eastAsia" w:ascii="宋体" w:hAnsi="宋体" w:eastAsia="宋体" w:cs="宋体"/>
                <w:i w:val="0"/>
                <w:color w:val="000000"/>
                <w:sz w:val="20"/>
                <w:szCs w:val="20"/>
                <w:u w:val="none"/>
              </w:rPr>
            </w:pPr>
          </w:p>
        </w:tc>
      </w:tr>
      <w:tr w14:paraId="31F7088C">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83892D1">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CC351">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45A39">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5986B">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A37F5">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A7DB4">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3C849">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742E3">
            <w:pPr>
              <w:jc w:val="center"/>
              <w:rPr>
                <w:rFonts w:hint="eastAsia" w:ascii="宋体" w:hAnsi="宋体" w:eastAsia="宋体" w:cs="宋体"/>
                <w:i w:val="0"/>
                <w:color w:val="000000"/>
                <w:sz w:val="20"/>
                <w:szCs w:val="20"/>
                <w:u w:val="none"/>
              </w:rPr>
            </w:pPr>
          </w:p>
        </w:tc>
      </w:tr>
      <w:tr w14:paraId="2761BFF2">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BA23899">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7EE7F">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B808A">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594AB">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9F6F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19369">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1EB65">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D0273">
            <w:pPr>
              <w:jc w:val="center"/>
              <w:rPr>
                <w:rFonts w:hint="eastAsia" w:ascii="宋体" w:hAnsi="宋体" w:eastAsia="宋体" w:cs="宋体"/>
                <w:i w:val="0"/>
                <w:color w:val="000000"/>
                <w:sz w:val="20"/>
                <w:szCs w:val="20"/>
                <w:u w:val="none"/>
              </w:rPr>
            </w:pPr>
          </w:p>
        </w:tc>
      </w:tr>
      <w:tr w14:paraId="155894C8">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BE6551F">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F0D10">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822EB">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E76D4">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0CB41">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B08A8">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DB5A7">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4CF32">
            <w:pPr>
              <w:jc w:val="center"/>
              <w:rPr>
                <w:rFonts w:hint="eastAsia" w:ascii="宋体" w:hAnsi="宋体" w:eastAsia="宋体" w:cs="宋体"/>
                <w:i w:val="0"/>
                <w:color w:val="000000"/>
                <w:sz w:val="20"/>
                <w:szCs w:val="20"/>
                <w:u w:val="none"/>
              </w:rPr>
            </w:pPr>
          </w:p>
        </w:tc>
      </w:tr>
      <w:tr w14:paraId="7EFD5098">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283F173">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F8984">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DA968">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991DC">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4629A">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B640C">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01DA9">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39DD7">
            <w:pPr>
              <w:jc w:val="center"/>
              <w:rPr>
                <w:rFonts w:hint="eastAsia" w:ascii="宋体" w:hAnsi="宋体" w:eastAsia="宋体" w:cs="宋体"/>
                <w:i w:val="0"/>
                <w:color w:val="000000"/>
                <w:sz w:val="20"/>
                <w:szCs w:val="20"/>
                <w:u w:val="none"/>
              </w:rPr>
            </w:pPr>
          </w:p>
        </w:tc>
      </w:tr>
      <w:tr w14:paraId="7E81C157">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7F6B72">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51AE6">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64307">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3FDC3">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EC4B6">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DB432">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C54C4">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965CC">
            <w:pPr>
              <w:jc w:val="center"/>
              <w:rPr>
                <w:rFonts w:hint="eastAsia" w:ascii="宋体" w:hAnsi="宋体" w:eastAsia="宋体" w:cs="宋体"/>
                <w:i w:val="0"/>
                <w:color w:val="000000"/>
                <w:sz w:val="20"/>
                <w:szCs w:val="20"/>
                <w:u w:val="none"/>
              </w:rPr>
            </w:pPr>
          </w:p>
        </w:tc>
      </w:tr>
      <w:tr w14:paraId="3209C42F">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7C646F">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BBE6F">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3F868">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CBD6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4DB41">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20901">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E7B7F">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63BDD">
            <w:pPr>
              <w:jc w:val="center"/>
              <w:rPr>
                <w:rFonts w:hint="eastAsia" w:ascii="宋体" w:hAnsi="宋体" w:eastAsia="宋体" w:cs="宋体"/>
                <w:i w:val="0"/>
                <w:color w:val="000000"/>
                <w:sz w:val="20"/>
                <w:szCs w:val="20"/>
                <w:u w:val="none"/>
              </w:rPr>
            </w:pPr>
          </w:p>
        </w:tc>
      </w:tr>
      <w:tr w14:paraId="0C3214FC">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C42321">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0AD36">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718D1">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3A149">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A16D6">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95952">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6A1B0">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08EC1">
            <w:pPr>
              <w:jc w:val="center"/>
              <w:rPr>
                <w:rFonts w:hint="eastAsia" w:ascii="宋体" w:hAnsi="宋体" w:eastAsia="宋体" w:cs="宋体"/>
                <w:i w:val="0"/>
                <w:color w:val="000000"/>
                <w:sz w:val="20"/>
                <w:szCs w:val="20"/>
                <w:u w:val="none"/>
              </w:rPr>
            </w:pPr>
          </w:p>
        </w:tc>
      </w:tr>
      <w:tr w14:paraId="51400964">
        <w:tblPrEx>
          <w:shd w:val="clear" w:color="auto" w:fill="auto"/>
          <w:tblCellMar>
            <w:top w:w="0" w:type="dxa"/>
            <w:left w:w="0" w:type="dxa"/>
            <w:bottom w:w="0" w:type="dxa"/>
            <w:right w:w="0" w:type="dxa"/>
          </w:tblCellMar>
        </w:tblPrEx>
        <w:trPr>
          <w:trHeight w:val="220"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CCCD62">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5730F">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E36F9">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0702C">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630EF">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FF53C">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96A72">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52826">
            <w:pPr>
              <w:jc w:val="center"/>
              <w:rPr>
                <w:rFonts w:hint="eastAsia" w:ascii="宋体" w:hAnsi="宋体" w:eastAsia="宋体" w:cs="宋体"/>
                <w:i w:val="0"/>
                <w:color w:val="000000"/>
                <w:sz w:val="20"/>
                <w:szCs w:val="20"/>
                <w:u w:val="none"/>
              </w:rPr>
            </w:pPr>
          </w:p>
        </w:tc>
      </w:tr>
      <w:tr w14:paraId="75B3B809">
        <w:tblPrEx>
          <w:shd w:val="clear" w:color="auto" w:fill="auto"/>
          <w:tblCellMar>
            <w:top w:w="0" w:type="dxa"/>
            <w:left w:w="0" w:type="dxa"/>
            <w:bottom w:w="0" w:type="dxa"/>
            <w:right w:w="0" w:type="dxa"/>
          </w:tblCellMar>
        </w:tblPrEx>
        <w:trPr>
          <w:trHeight w:val="312" w:hRule="atLeast"/>
        </w:trPr>
        <w:tc>
          <w:tcPr>
            <w:tcW w:w="99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BAAC803">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6FB37">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89F8B">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C558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69458">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6B15E">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82DCE">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9952A">
            <w:pPr>
              <w:jc w:val="center"/>
              <w:rPr>
                <w:rFonts w:hint="eastAsia" w:ascii="宋体" w:hAnsi="宋体" w:eastAsia="宋体" w:cs="宋体"/>
                <w:i w:val="0"/>
                <w:color w:val="000000"/>
                <w:sz w:val="20"/>
                <w:szCs w:val="20"/>
                <w:u w:val="none"/>
              </w:rPr>
            </w:pPr>
          </w:p>
        </w:tc>
      </w:tr>
      <w:tr w14:paraId="0CAE9C09">
        <w:tblPrEx>
          <w:tblCellMar>
            <w:top w:w="0" w:type="dxa"/>
            <w:left w:w="0" w:type="dxa"/>
            <w:bottom w:w="0" w:type="dxa"/>
            <w:right w:w="0" w:type="dxa"/>
          </w:tblCellMar>
        </w:tblPrEx>
        <w:trPr>
          <w:trHeight w:val="960" w:hRule="atLeast"/>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1F2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22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E0AD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接口建设：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1、医院HIS医生工作站接口对接（含对接院内中医辅助诊疗系统及配药煎煮等相关设备）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2、基层云HIS系统接口对接</w:t>
            </w:r>
          </w:p>
        </w:tc>
        <w:tc>
          <w:tcPr>
            <w:tcW w:w="5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FEF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1、与医院设备及HIS系统相关接口对接，实现临床工作流程融合。与医院HIS系统对接产生的相关费用由中标方承担。</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与基层云HIS系统接口对接，通过标准化的接口方式，将基层医疗卫生机构开具的中药处方统一收集汇总，生成对应的处方订单信息上传至共享中药房，实现临床工作流程融合。与基层云HIS系统对接产生的相关费用由中标方承担。</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474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D0A0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8CEFC">
            <w:pPr>
              <w:jc w:val="center"/>
              <w:rPr>
                <w:rFonts w:hint="eastAsia" w:ascii="宋体" w:hAnsi="宋体" w:eastAsia="宋体" w:cs="宋体"/>
                <w:i w:val="0"/>
                <w:color w:val="000000"/>
                <w:sz w:val="20"/>
                <w:szCs w:val="20"/>
                <w:u w:val="none"/>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5756D">
            <w:pPr>
              <w:jc w:val="center"/>
              <w:rPr>
                <w:rFonts w:hint="eastAsia" w:ascii="宋体" w:hAnsi="宋体" w:eastAsia="宋体" w:cs="宋体"/>
                <w:i w:val="0"/>
                <w:color w:val="000000"/>
                <w:sz w:val="20"/>
                <w:szCs w:val="20"/>
                <w:u w:val="none"/>
              </w:rPr>
            </w:pPr>
          </w:p>
        </w:tc>
        <w:tc>
          <w:tcPr>
            <w:tcW w:w="22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A80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负责我院及我县与本项相关的信息系统及设备对接改造。包括对接系统的改造的协调、成本和本项目采购系统的联调、成本均在本项目总预算中。</w:t>
            </w:r>
          </w:p>
        </w:tc>
      </w:tr>
      <w:tr w14:paraId="3A89444B">
        <w:tblPrEx>
          <w:shd w:val="clear" w:color="auto" w:fill="auto"/>
          <w:tblCellMar>
            <w:top w:w="0" w:type="dxa"/>
            <w:left w:w="0" w:type="dxa"/>
            <w:bottom w:w="0" w:type="dxa"/>
            <w:right w:w="0" w:type="dxa"/>
          </w:tblCellMar>
        </w:tblPrEx>
        <w:trPr>
          <w:trHeight w:val="1054" w:hRule="atLeast"/>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51B6F">
            <w:pPr>
              <w:jc w:val="center"/>
              <w:rPr>
                <w:rFonts w:hint="eastAsia" w:ascii="宋体" w:hAnsi="宋体" w:eastAsia="宋体" w:cs="宋体"/>
                <w:i w:val="0"/>
                <w:color w:val="000000"/>
                <w:sz w:val="20"/>
                <w:szCs w:val="20"/>
                <w:u w:val="none"/>
              </w:rPr>
            </w:pPr>
          </w:p>
        </w:tc>
        <w:tc>
          <w:tcPr>
            <w:tcW w:w="22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963CC">
            <w:pPr>
              <w:jc w:val="left"/>
              <w:rPr>
                <w:rFonts w:hint="eastAsia" w:ascii="宋体" w:hAnsi="宋体" w:eastAsia="宋体" w:cs="宋体"/>
                <w:i w:val="0"/>
                <w:color w:val="000000"/>
                <w:sz w:val="20"/>
                <w:szCs w:val="20"/>
                <w:u w:val="none"/>
              </w:rPr>
            </w:pPr>
          </w:p>
        </w:tc>
        <w:tc>
          <w:tcPr>
            <w:tcW w:w="5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B1A61">
            <w:pPr>
              <w:jc w:val="left"/>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BF705">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E24FF7">
            <w:pPr>
              <w:jc w:val="center"/>
              <w:rPr>
                <w:rFonts w:hint="eastAsia" w:ascii="宋体" w:hAnsi="宋体" w:eastAsia="宋体" w:cs="宋体"/>
                <w:i w:val="0"/>
                <w:color w:val="000000"/>
                <w:sz w:val="20"/>
                <w:szCs w:val="20"/>
                <w:u w:val="none"/>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BB999">
            <w:pPr>
              <w:jc w:val="center"/>
              <w:rPr>
                <w:rFonts w:hint="eastAsia" w:ascii="宋体" w:hAnsi="宋体" w:eastAsia="宋体" w:cs="宋体"/>
                <w:i w:val="0"/>
                <w:color w:val="000000"/>
                <w:sz w:val="20"/>
                <w:szCs w:val="20"/>
                <w:u w:val="none"/>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CD701">
            <w:pPr>
              <w:jc w:val="center"/>
              <w:rPr>
                <w:rFonts w:hint="eastAsia" w:ascii="宋体" w:hAnsi="宋体" w:eastAsia="宋体" w:cs="宋体"/>
                <w:i w:val="0"/>
                <w:color w:val="000000"/>
                <w:sz w:val="20"/>
                <w:szCs w:val="20"/>
                <w:u w:val="none"/>
              </w:rPr>
            </w:pPr>
          </w:p>
        </w:tc>
        <w:tc>
          <w:tcPr>
            <w:tcW w:w="22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64C73">
            <w:pPr>
              <w:jc w:val="left"/>
              <w:rPr>
                <w:rFonts w:hint="eastAsia" w:ascii="宋体" w:hAnsi="宋体" w:eastAsia="宋体" w:cs="宋体"/>
                <w:i w:val="0"/>
                <w:color w:val="000000"/>
                <w:sz w:val="20"/>
                <w:szCs w:val="20"/>
                <w:u w:val="none"/>
              </w:rPr>
            </w:pPr>
          </w:p>
        </w:tc>
      </w:tr>
      <w:tr w14:paraId="016D810F">
        <w:tblPrEx>
          <w:shd w:val="clear" w:color="auto" w:fill="auto"/>
          <w:tblCellMar>
            <w:top w:w="0" w:type="dxa"/>
            <w:left w:w="0" w:type="dxa"/>
            <w:bottom w:w="0" w:type="dxa"/>
            <w:right w:w="0" w:type="dxa"/>
          </w:tblCellMar>
        </w:tblPrEx>
        <w:trPr>
          <w:trHeight w:val="270" w:hRule="atLeast"/>
        </w:trPr>
        <w:tc>
          <w:tcPr>
            <w:tcW w:w="99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86E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22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0B7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支撑共享中药房系统的硬件、网络及安全设备</w:t>
            </w:r>
          </w:p>
        </w:tc>
        <w:tc>
          <w:tcPr>
            <w:tcW w:w="58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DC3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需满足系统的服务器资源、安全设备要求及网络要求</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0AA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F338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1CB82">
            <w:pPr>
              <w:jc w:val="center"/>
              <w:rPr>
                <w:rFonts w:hint="eastAsia" w:ascii="宋体" w:hAnsi="宋体" w:eastAsia="宋体" w:cs="宋体"/>
                <w:i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3A27A">
            <w:pPr>
              <w:jc w:val="center"/>
              <w:rPr>
                <w:rFonts w:hint="eastAsia" w:ascii="宋体" w:hAnsi="宋体" w:eastAsia="宋体" w:cs="宋体"/>
                <w:i w:val="0"/>
                <w:color w:val="000000"/>
                <w:sz w:val="20"/>
                <w:szCs w:val="20"/>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B42E6">
            <w:pPr>
              <w:jc w:val="left"/>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符合信创要求</w:t>
            </w:r>
          </w:p>
        </w:tc>
      </w:tr>
      <w:tr w14:paraId="00617397">
        <w:tblPrEx>
          <w:shd w:val="clear" w:color="auto" w:fill="auto"/>
          <w:tblCellMar>
            <w:top w:w="0" w:type="dxa"/>
            <w:left w:w="0" w:type="dxa"/>
            <w:bottom w:w="0" w:type="dxa"/>
            <w:right w:w="0" w:type="dxa"/>
          </w:tblCellMar>
        </w:tblPrEx>
        <w:trPr>
          <w:trHeight w:val="270" w:hRule="atLeast"/>
        </w:trPr>
        <w:tc>
          <w:tcPr>
            <w:tcW w:w="9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9D1D3">
            <w:pPr>
              <w:jc w:val="center"/>
              <w:rPr>
                <w:rFonts w:hint="eastAsia" w:ascii="宋体" w:hAnsi="宋体" w:eastAsia="宋体" w:cs="宋体"/>
                <w:i w:val="0"/>
                <w:color w:val="000000"/>
                <w:sz w:val="20"/>
                <w:szCs w:val="20"/>
                <w:u w:val="none"/>
              </w:rPr>
            </w:pPr>
          </w:p>
        </w:tc>
        <w:tc>
          <w:tcPr>
            <w:tcW w:w="955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C7FA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合计：（大写）  单位：万元（人民币）</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34FCDE">
            <w:pPr>
              <w:jc w:val="center"/>
              <w:rPr>
                <w:rFonts w:hint="eastAsia" w:ascii="宋体" w:hAnsi="宋体" w:eastAsia="宋体" w:cs="宋体"/>
                <w:i w:val="0"/>
                <w:color w:val="000000"/>
                <w:sz w:val="20"/>
                <w:szCs w:val="20"/>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2E6FE">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196E3">
            <w:pPr>
              <w:jc w:val="left"/>
              <w:rPr>
                <w:rFonts w:hint="eastAsia" w:ascii="宋体" w:hAnsi="宋体" w:eastAsia="宋体" w:cs="宋体"/>
                <w:i w:val="0"/>
                <w:color w:val="FF0000"/>
                <w:sz w:val="20"/>
                <w:szCs w:val="20"/>
                <w:u w:val="none"/>
              </w:rPr>
            </w:pPr>
          </w:p>
        </w:tc>
      </w:tr>
    </w:tbl>
    <w:p w14:paraId="1A9A987F"/>
    <w:sectPr>
      <w:pgSz w:w="16838" w:h="11906" w:orient="landscape"/>
      <w:pgMar w:top="1417" w:right="1134" w:bottom="141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E80F4A"/>
    <w:rsid w:val="276747A1"/>
    <w:rsid w:val="2814297F"/>
    <w:rsid w:val="2FD466DE"/>
    <w:rsid w:val="63E80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774</Words>
  <Characters>792</Characters>
  <Lines>0</Lines>
  <Paragraphs>0</Paragraphs>
  <TotalTime>7</TotalTime>
  <ScaleCrop>false</ScaleCrop>
  <LinksUpToDate>false</LinksUpToDate>
  <CharactersWithSpaces>794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2026-07-11T09:06:00Z</dcterms:created>
  <dc:creator>剑要远离感情</dc:creator>
  <cp:lastModifiedBy>哄哄</cp:lastModifiedBy>
  <dcterms:modified xsi:type="dcterms:W3CDTF">2026-07-16T01:14:32Z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eyJoZGlkIjoiYTEzN2U1MTcxMjMwYWFmMTgzOTY1NmU5NGE3MTM2YzgiLCJ1c2VySWQiOiI2NjQ1MDMzMzcifQ==</vt:lpwstr>
  </property>
  <property fmtid="{D5CDD505-2E9C-101B-9397-08002B2CF9AE}" pid="4" name="ICV">
    <vt:lpwstr>B47B800292D543F798CE4911E697495D_13</vt:lpwstr>
  </property>
</Properties>
</file>